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" ContentType="application/octet-stream"/>
  <Override PartName="/word/media/024ca34df660cd40df3e95b4b0a76b40c7997ea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risk-assessment-physical-security"/>
    <w:p>
      <w:pPr>
        <w:pStyle w:val="Heading1"/>
      </w:pPr>
      <w:r>
        <w:t xml:space="preserve">Risk Assessment: Physical Security</w:t>
      </w:r>
    </w:p>
    <w:p>
      <w:pPr>
        <w:pStyle w:val="FirstParagraph"/>
      </w:pPr>
      <w:r>
        <w:rPr>
          <w:b/>
          <w:bCs/>
        </w:rPr>
        <w:t xml:space="preserve">Muslim Council of Britain — Security Workstream</w:t>
      </w:r>
    </w:p>
    <w:p>
      <w:r>
        <w:pict>
          <v:rect style="width:0;height:1.5pt" o:hralign="center" o:hrstd="t" o:hr="t"/>
        </w:pic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Mosque / Premises Name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Address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Date of Assessment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Assessed By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Role / Position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Next Review Date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(12 months from assessment date)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18" w:name="about-this-template"/>
    <w:p>
      <w:pPr>
        <w:pStyle w:val="Heading2"/>
      </w:pPr>
      <w:r>
        <w:t xml:space="preserve">About This Template</w:t>
      </w:r>
    </w:p>
    <w:p>
      <w:pPr>
        <w:pStyle w:val="FirstParagraph"/>
      </w:pPr>
      <w:r>
        <w:t xml:space="preserve">This risk assessment helps your mosque committee systematically identify, score, and manage physical security risks to your premises. It is not a test — it is a planning tool. Work through each risk as a committee, agree on scores honestly, and record what actions you will take.</w:t>
      </w:r>
    </w:p>
    <w:p>
      <w:pPr>
        <w:pStyle w:val="BodyText"/>
      </w:pPr>
      <w:r>
        <w:t xml:space="preserve">This template covers</w:t>
      </w:r>
      <w:r>
        <w:t xml:space="preserve"> </w:t>
      </w:r>
      <w:r>
        <w:rPr>
          <w:b/>
          <w:bCs/>
        </w:rPr>
        <w:t xml:space="preserve">physical security</w:t>
      </w:r>
      <w:r>
        <w:t xml:space="preserve"> </w:t>
      </w:r>
      <w:r>
        <w:t xml:space="preserve">risks: unauthorised access, criminal damage, fire safety, and related threats. Separate templates exist for digital threats and public events.</w:t>
      </w:r>
    </w:p>
    <w:bookmarkStart w:id="17" w:name="how-to-use-this-template"/>
    <w:p>
      <w:pPr>
        <w:pStyle w:val="Heading3"/>
      </w:pPr>
      <w:r>
        <w:t xml:space="preserve">How to Use This Template</w:t>
      </w:r>
    </w:p>
    <w:p>
      <w:pPr>
        <w:pStyle w:val="Compact"/>
        <w:numPr>
          <w:ilvl w:val="0"/>
          <w:numId w:val="1001"/>
        </w:numPr>
      </w:pPr>
      <w:r>
        <w:t xml:space="preserve">Read each pre-populated risk in the table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Current Controls</w:t>
      </w:r>
      <w:r>
        <w:t xml:space="preserve"> </w:t>
      </w:r>
      <w:r>
        <w:t xml:space="preserve">— write down what you already do to manage this risk (even if it is very basic).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Likelihood</w:t>
      </w:r>
      <w:r>
        <w:t xml:space="preserve"> </w:t>
      </w:r>
      <w:r>
        <w:t xml:space="preserve">— score how likely this risk is to happen at your premises (see scale below).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Impact</w:t>
      </w:r>
      <w:r>
        <w:t xml:space="preserve"> </w:t>
      </w:r>
      <w:r>
        <w:t xml:space="preserve">— score how serious the consequences would be if it did happen (see scale below).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Risk Score</w:t>
      </w:r>
      <w:r>
        <w:t xml:space="preserve"> </w:t>
      </w:r>
      <w:r>
        <w:t xml:space="preserve">— multiply Likelihood by Impact.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Mitigation Actions</w:t>
      </w:r>
      <w:r>
        <w:t xml:space="preserve"> </w:t>
      </w:r>
      <w:r>
        <w:t xml:space="preserve">— write down what else you could do to reduce the risk.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Owner</w:t>
      </w:r>
      <w:r>
        <w:t xml:space="preserve"> </w:t>
      </w:r>
      <w:r>
        <w:t xml:space="preserve">— name the person responsible for carrying out the mitigation actions.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Target Date</w:t>
      </w:r>
      <w:r>
        <w:t xml:space="preserve"> </w:t>
      </w:r>
      <w:r>
        <w:t xml:space="preserve">— set a realistic deadline.</w:t>
      </w:r>
    </w:p>
    <w:p>
      <w:pPr>
        <w:pStyle w:val="Compact"/>
        <w:numPr>
          <w:ilvl w:val="0"/>
          <w:numId w:val="1001"/>
        </w:numPr>
      </w:pPr>
      <w:r>
        <w:t xml:space="preserve">Add any additional risks specific to your premises at the end of the table.</w:t>
      </w:r>
    </w:p>
    <w:p>
      <w:pPr>
        <w:pStyle w:val="Compact"/>
        <w:numPr>
          <w:ilvl w:val="0"/>
          <w:numId w:val="1001"/>
        </w:numPr>
      </w:pPr>
      <w:r>
        <w:t xml:space="preserve">Sign off as a committee and schedule a review in 12 months (or sooner if circumstances change).</w:t>
      </w:r>
    </w:p>
    <w:p>
      <w:r>
        <w:pict>
          <v:rect style="width:0;height:1.5pt" o:hralign="center" o:hrstd="t" o:hr="t"/>
        </w:pict>
      </w:r>
    </w:p>
    <w:bookmarkEnd w:id="17"/>
    <w:bookmarkEnd w:id="18"/>
    <w:bookmarkStart w:id="22" w:name="risk-scoring-methodology"/>
    <w:p>
      <w:pPr>
        <w:pStyle w:val="Heading2"/>
      </w:pPr>
      <w:r>
        <w:t xml:space="preserve">Risk Scoring Methodology</w:t>
      </w:r>
    </w:p>
    <w:bookmarkStart w:id="19" w:name="likelihood-how-likely-is-it-to-happen"/>
    <w:p>
      <w:pPr>
        <w:pStyle w:val="Heading3"/>
      </w:pPr>
      <w:r>
        <w:t xml:space="preserve">Likelihood (how likely is it to happen?)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Rating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Unlikely</w:t>
            </w:r>
          </w:p>
        </w:tc>
        <w:tc>
          <w:tcPr/>
          <w:p>
            <w:pPr>
              <w:pStyle w:val="Compact"/>
            </w:pPr>
            <w:r>
              <w:t xml:space="preserve">Could happen but rare — no history of this at your premises or similar local mosques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Possible</w:t>
            </w:r>
          </w:p>
        </w:tc>
        <w:tc>
          <w:tcPr/>
          <w:p>
            <w:pPr>
              <w:pStyle w:val="Compact"/>
            </w:pPr>
            <w:r>
              <w:t xml:space="preserve">Has happened before at similar premises, or conditions exist that make it plausible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Likely</w:t>
            </w:r>
          </w:p>
        </w:tc>
        <w:tc>
          <w:tcPr/>
          <w:p>
            <w:pPr>
              <w:pStyle w:val="Compact"/>
            </w:pPr>
            <w:r>
              <w:t xml:space="preserve">Has happened at your premises, is happening elsewhere regularly, or you have clear vulnerabilities</w:t>
            </w:r>
          </w:p>
        </w:tc>
      </w:tr>
    </w:tbl>
    <w:bookmarkEnd w:id="19"/>
    <w:bookmarkStart w:id="20" w:name="impact-how-serious-would-it-be"/>
    <w:p>
      <w:pPr>
        <w:pStyle w:val="Heading3"/>
      </w:pPr>
      <w:r>
        <w:t xml:space="preserve">Impact (how serious would it be?)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Rating</w:t>
            </w:r>
          </w:p>
        </w:tc>
        <w:tc>
          <w:tcPr/>
          <w:p>
            <w:pPr>
              <w:pStyle w:val="Compact"/>
            </w:pPr>
            <w:r>
              <w:t xml:space="preserve">Meaning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Minor</w:t>
            </w:r>
          </w:p>
        </w:tc>
        <w:tc>
          <w:tcPr/>
          <w:p>
            <w:pPr>
              <w:pStyle w:val="Compact"/>
            </w:pPr>
            <w:r>
              <w:t xml:space="preserve">Small financial loss, brief disruption, no injuries, easily fixed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Significant</w:t>
            </w:r>
          </w:p>
        </w:tc>
        <w:tc>
          <w:tcPr/>
          <w:p>
            <w:pPr>
              <w:pStyle w:val="Compact"/>
            </w:pPr>
            <w:r>
              <w:t xml:space="preserve">Moderate financial loss, services disrupted for days, minor injuries possible, reputational damage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Severe</w:t>
            </w:r>
          </w:p>
        </w:tc>
        <w:tc>
          <w:tcPr/>
          <w:p>
            <w:pPr>
              <w:pStyle w:val="Compact"/>
            </w:pPr>
            <w:r>
              <w:t xml:space="preserve">Major financial loss, long-term closure, serious injuries or fatalities, major reputational or legal consequences</w:t>
            </w:r>
          </w:p>
        </w:tc>
      </w:tr>
    </w:tbl>
    <w:bookmarkEnd w:id="20"/>
    <w:bookmarkStart w:id="21" w:name="risk-score-likelihood-x-impact"/>
    <w:p>
      <w:pPr>
        <w:pStyle w:val="Heading3"/>
      </w:pPr>
      <w:r>
        <w:t xml:space="preserve">Risk Score (Likelihood x Impact)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Score</w:t>
            </w:r>
          </w:p>
        </w:tc>
        <w:tc>
          <w:tcPr/>
          <w:p>
            <w:pPr>
              <w:pStyle w:val="Compact"/>
            </w:pPr>
            <w:r>
              <w:t xml:space="preserve">Rating</w:t>
            </w:r>
          </w:p>
        </w:tc>
        <w:tc>
          <w:tcPr/>
          <w:p>
            <w:pPr>
              <w:pStyle w:val="Compact"/>
            </w:pPr>
            <w:r>
              <w:t xml:space="preserve">What It Means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1–3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Monitor and review — manage through routine procedures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4–6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Medium</w:t>
            </w:r>
          </w:p>
        </w:tc>
        <w:tc>
          <w:tcPr/>
          <w:p>
            <w:pPr>
              <w:pStyle w:val="Compact"/>
            </w:pPr>
            <w:r>
              <w:t xml:space="preserve">Action needed — put mitigation measures in place within a defined timeframe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7–9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Urgent action required — address immediately, escalate to trustees / management committee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End w:id="22"/>
    <w:bookmarkStart w:id="24" w:name="risk-register-physical-security"/>
    <w:p>
      <w:pPr>
        <w:pStyle w:val="Heading2"/>
      </w:pPr>
      <w:r>
        <w:t xml:space="preserve">Risk Register: Physical Security</w:t>
      </w:r>
    </w:p>
    <w:p>
      <w:pPr>
        <w:pStyle w:val="FirstParagraph"/>
      </w:pPr>
      <w:r>
        <w:rPr>
          <w:i/>
          <w:iCs/>
        </w:rPr>
        <w:t xml:space="preserve">Cross-references: MCB Physical Security Guide — Sections 1 (Perimeter &amp; Boundary Security), 7 (Fire Safety &amp; Life Safety Systems), 8 (Emergency Planning &amp; Incident Response)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 #</w:t>
            </w:r>
          </w:p>
        </w:tc>
        <w:tc>
          <w:tcPr/>
          <w:p>
            <w:pPr>
              <w:pStyle w:val="Compact"/>
            </w:pPr>
            <w:r>
              <w:t xml:space="preserve">Risk Description</w:t>
            </w:r>
          </w:p>
        </w:tc>
        <w:tc>
          <w:tcPr/>
          <w:p>
            <w:pPr>
              <w:pStyle w:val="Compact"/>
            </w:pPr>
            <w:r>
              <w:t xml:space="preserve">Current Controls (what you already do)</w:t>
            </w:r>
          </w:p>
        </w:tc>
        <w:tc>
          <w:tcPr/>
          <w:p>
            <w:pPr>
              <w:pStyle w:val="Compact"/>
            </w:pPr>
            <w:r>
              <w:t xml:space="preserve">Likelihood (1–3)</w:t>
            </w:r>
          </w:p>
        </w:tc>
        <w:tc>
          <w:tcPr/>
          <w:p>
            <w:pPr>
              <w:pStyle w:val="Compact"/>
            </w:pPr>
            <w:r>
              <w:t xml:space="preserve">Impact (1–3)</w:t>
            </w:r>
          </w:p>
        </w:tc>
        <w:tc>
          <w:tcPr/>
          <w:p>
            <w:pPr>
              <w:pStyle w:val="Compact"/>
            </w:pPr>
            <w:r>
              <w:t xml:space="preserve">Risk Score (L x I)</w:t>
            </w:r>
          </w:p>
        </w:tc>
        <w:tc>
          <w:tcPr/>
          <w:p>
            <w:pPr>
              <w:pStyle w:val="Compact"/>
            </w:pPr>
            <w:r>
              <w:t xml:space="preserve">Mitigation Actions (what else you could do)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Target Date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PS-01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Unauthorised entry / intrusion</w:t>
            </w:r>
            <w:r>
              <w:t xml:space="preserve"> </w:t>
            </w:r>
            <w:r>
              <w:t xml:space="preserve">— someone enters the building without permission, including outside prayer times when the building may be unsupervised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PS-02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Arson</w:t>
            </w:r>
            <w:r>
              <w:t xml:space="preserve"> </w:t>
            </w:r>
            <w:r>
              <w:t xml:space="preserve">— deliberate fire-setting, particularly using bins, recycling, or combustible materials left against external walls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PS-03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Hate crime / vandalism</w:t>
            </w:r>
            <w:r>
              <w:t xml:space="preserve"> </w:t>
            </w:r>
            <w:r>
              <w:t xml:space="preserve">— graffiti, broken windows, damage to property, or other acts motivated by hostility towards the Muslim community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PS-04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Vehicle attack</w:t>
            </w:r>
            <w:r>
              <w:t xml:space="preserve"> </w:t>
            </w:r>
            <w:r>
              <w:t xml:space="preserve">— a vehicle deliberately driven at the building entrance, perimeter, or congregation (e.g., during arrival/departure for prayers)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PS-05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Blocked fire exits</w:t>
            </w:r>
            <w:r>
              <w:t xml:space="preserve"> </w:t>
            </w:r>
            <w:r>
              <w:t xml:space="preserve">— fire escape routes obstructed by furniture, shoes, storage, or overcrowding, especially during Jumu’ah (Friday prayers) and Ramadan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PS-06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Theft</w:t>
            </w:r>
            <w:r>
              <w:t xml:space="preserve"> </w:t>
            </w:r>
            <w:r>
              <w:t xml:space="preserve">— stealing of donation boxes, cash, office equipment, IT hardware, or copper from the building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PS-07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Hostile individual entering premises</w:t>
            </w:r>
            <w:r>
              <w:t xml:space="preserve"> </w:t>
            </w:r>
            <w:r>
              <w:t xml:space="preserve">— a person entering with intent to cause harm, intimidate, or disrupt (including individuals with weapons)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PS-08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Lack of emergency plan / untrained volunteers</w:t>
            </w:r>
            <w:r>
              <w:t xml:space="preserve"> </w:t>
            </w:r>
            <w:r>
              <w:t xml:space="preserve">— no written emergency plan in place, or volunteers and staff who have not been briefed on what to do in an emergency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PS-09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Poor lighting enabling night-time attacks</w:t>
            </w:r>
            <w:r>
              <w:t xml:space="preserve"> </w:t>
            </w:r>
            <w:r>
              <w:t xml:space="preserve">— inadequate external lighting around the building perimeter, car park, and approach routes, creating opportunities for criminal activity after dark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PS-10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Inadequate locks on side / rear doors</w:t>
            </w:r>
            <w:r>
              <w:t xml:space="preserve"> </w:t>
            </w:r>
            <w:r>
              <w:t xml:space="preserve">— secondary entrances with weak, broken, or missing locks, providing easy entry points for intruders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Start w:id="23" w:name="Xb7cbb201e02dd921a1fa12eae5ed4fbddc43b28"/>
    <w:p>
      <w:pPr>
        <w:pStyle w:val="Heading3"/>
      </w:pPr>
      <w:r>
        <w:t xml:space="preserve">Additional Risks Identified by Your Committee</w:t>
      </w:r>
    </w:p>
    <w:p>
      <w:pPr>
        <w:pStyle w:val="FirstParagraph"/>
      </w:pPr>
      <w:r>
        <w:rPr>
          <w:i/>
          <w:iCs/>
        </w:rPr>
        <w:t xml:space="preserve">Use the rows below to record any physical security risks specific to your premises that are not listed above.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 #</w:t>
            </w:r>
          </w:p>
        </w:tc>
        <w:tc>
          <w:tcPr/>
          <w:p>
            <w:pPr>
              <w:pStyle w:val="Compact"/>
            </w:pPr>
            <w:r>
              <w:t xml:space="preserve">Risk Description</w:t>
            </w:r>
          </w:p>
        </w:tc>
        <w:tc>
          <w:tcPr/>
          <w:p>
            <w:pPr>
              <w:pStyle w:val="Compact"/>
            </w:pPr>
            <w:r>
              <w:t xml:space="preserve">Current Controls (what you already do)</w:t>
            </w:r>
          </w:p>
        </w:tc>
        <w:tc>
          <w:tcPr/>
          <w:p>
            <w:pPr>
              <w:pStyle w:val="Compact"/>
            </w:pPr>
            <w:r>
              <w:t xml:space="preserve">Likelihood (1–3)</w:t>
            </w:r>
          </w:p>
        </w:tc>
        <w:tc>
          <w:tcPr/>
          <w:p>
            <w:pPr>
              <w:pStyle w:val="Compact"/>
            </w:pPr>
            <w:r>
              <w:t xml:space="preserve">Impact (1–3)</w:t>
            </w:r>
          </w:p>
        </w:tc>
        <w:tc>
          <w:tcPr/>
          <w:p>
            <w:pPr>
              <w:pStyle w:val="Compact"/>
            </w:pPr>
            <w:r>
              <w:t xml:space="preserve">Risk Score (L x I)</w:t>
            </w:r>
          </w:p>
        </w:tc>
        <w:tc>
          <w:tcPr/>
          <w:p>
            <w:pPr>
              <w:pStyle w:val="Compact"/>
            </w:pPr>
            <w:r>
              <w:t xml:space="preserve">Mitigation Actions (what else you could do)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Target Date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PS-11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PS-12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PS-13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PS-14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PS-15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3"/>
    <w:bookmarkEnd w:id="24"/>
    <w:bookmarkStart w:id="25" w:name="risk-summary"/>
    <w:p>
      <w:pPr>
        <w:pStyle w:val="Heading2"/>
      </w:pPr>
      <w:r>
        <w:t xml:space="preserve">Risk Summary</w:t>
      </w:r>
    </w:p>
    <w:p>
      <w:pPr>
        <w:pStyle w:val="FirstParagraph"/>
      </w:pPr>
      <w:r>
        <w:rPr>
          <w:i/>
          <w:iCs/>
        </w:rPr>
        <w:t xml:space="preserve">After completing the register, count how many risks fall into each category.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Rating</w:t>
            </w:r>
          </w:p>
        </w:tc>
        <w:tc>
          <w:tcPr/>
          <w:p>
            <w:pPr>
              <w:pStyle w:val="Compact"/>
            </w:pPr>
            <w:r>
              <w:t xml:space="preserve">Count</w:t>
            </w:r>
          </w:p>
        </w:tc>
        <w:tc>
          <w:tcPr/>
          <w:p>
            <w:pPr>
              <w:pStyle w:val="Compact"/>
            </w:pPr>
            <w:r>
              <w:t xml:space="preserve">Risk Numbers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High (7–9)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Medium (4–6)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Low (1–3)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Total risks assessed:</w:t>
      </w:r>
      <w:r>
        <w:t xml:space="preserve"> </w:t>
      </w:r>
      <w:r>
        <w:t xml:space="preserve">____</w:t>
      </w:r>
    </w:p>
    <w:p>
      <w:r>
        <w:pict>
          <v:rect style="width:0;height:1.5pt" o:hralign="center" o:hrstd="t" o:hr="t"/>
        </w:pict>
      </w:r>
    </w:p>
    <w:bookmarkEnd w:id="25"/>
    <w:bookmarkStart w:id="26" w:name="actions-priority-list"/>
    <w:p>
      <w:pPr>
        <w:pStyle w:val="Heading2"/>
      </w:pPr>
      <w:r>
        <w:t xml:space="preserve">Actions Priority List</w:t>
      </w:r>
    </w:p>
    <w:p>
      <w:pPr>
        <w:pStyle w:val="FirstParagraph"/>
      </w:pPr>
      <w:r>
        <w:rPr>
          <w:i/>
          <w:iCs/>
        </w:rPr>
        <w:t xml:space="preserve">List your top 3–5 highest-priority actions from the register above, in order of urgency.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Target Date</w:t>
            </w:r>
          </w:p>
        </w:tc>
        <w:tc>
          <w:tcPr/>
          <w:p>
            <w:pPr>
              <w:pStyle w:val="Compact"/>
            </w:pPr>
            <w:r>
              <w:t xml:space="preserve">Estimated Cost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sign-off"/>
    <w:p>
      <w:pPr>
        <w:pStyle w:val="Heading2"/>
      </w:pPr>
      <w:r>
        <w:t xml:space="preserve">Sign-Off</w:t>
      </w:r>
    </w:p>
    <w:p>
      <w:pPr>
        <w:pStyle w:val="FirstParagraph"/>
      </w:pPr>
      <w:r>
        <w:t xml:space="preserve">This risk assessment has been reviewed and agreed by the mosque committee.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Signature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Next scheduled review date:</w:t>
      </w:r>
      <w:r>
        <w:t xml:space="preserve"> </w:t>
      </w:r>
      <w:r>
        <w:t xml:space="preserve">____________________</w:t>
      </w:r>
    </w:p>
    <w:p>
      <w:pPr>
        <w:pStyle w:val="BodyText"/>
      </w:pPr>
      <w:r>
        <w:rPr>
          <w:b/>
          <w:bCs/>
        </w:rPr>
        <w:t xml:space="preserve">Notes / circumstances that would trigger an earlier review:</w:t>
      </w:r>
      <w:r>
        <w:t xml:space="preserve"> </w:t>
      </w:r>
      <w:r>
        <w:t xml:space="preserve">- A security incident occurs at the premises or a nearby mosque</w:t>
      </w:r>
      <w:r>
        <w:t xml:space="preserve"> </w:t>
      </w:r>
      <w:r>
        <w:t xml:space="preserve">- Significant changes to the building (construction, new entrances, etc.)</w:t>
      </w:r>
      <w:r>
        <w:t xml:space="preserve"> </w:t>
      </w:r>
      <w:r>
        <w:t xml:space="preserve">- Changes in the local threat environment</w:t>
      </w:r>
      <w:r>
        <w:t xml:space="preserve"> </w:t>
      </w:r>
      <w:r>
        <w:t xml:space="preserve">- Following a police or community safety briefing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template is a companion to the MCB Physical Security Guide for Mosque &amp; Community Premises (v1.4, March 2026). Published by the Muslim Council of Britain — Security Workstream.</w:t>
      </w:r>
    </w:p>
    <w:bookmarkEnd w:id="27"/>
    <w:bookmarkEnd w:id="28"/>
    <w:sectPr>
      <w:headerReference r:id="rId7" w:type="default"/>
      <w:footerReference r:id="rId8" w:type="default"/>
      <w:pgSz w:h="16838" w:orient="portrait" w:w="11906"/>
      <w:pgMar w:bottom="1440" w:footer="708" w:gutter="0" w:header="708" w:left="1440" w:right="1440" w:top="1440"/>
      <w:pgNumTyp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00000" w:sz="4" w:space="4"/>
      </w:pBdr>
      <w:tabs>
        <w:tab w:val="right" w:pos="9026"/>
      </w:tabs>
    </w:pPr>
    <w:r>
      <w:rPr>
        <w:rFonts w:ascii="Calibri" w:cs="Calibri" w:eastAsia="Calibri" w:hAnsi="Calibri"/>
        <w:color w:val="777777"/>
        <w:sz w:val="16"/>
        <w:szCs w:val="16"/>
      </w:rPr>
      <w:t xml:space="preserve">MCB Security Workstream</w:t>
    </w:r>
    <w:r>
      <w:rPr>
        <w:rFonts w:ascii="Calibri" w:cs="Calibri" w:eastAsia="Calibri" w:hAnsi="Calibri"/>
        <w:color w:val="777777"/>
        <w:sz w:val="16"/>
        <w:szCs w:val="16"/>
      </w:rPr>
      <w:t xml:space="preserve">	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00000" w:sz="4" w:space="4"/>
      </w:pBdr>
      <w:tabs>
        <w:tab w:val="right" w:pos="9026"/>
      </w:tabs>
    </w:pPr>
    <w:r>
      <w:rPr>
        <w:rFonts w:ascii="Arial" w:cs="Arial" w:eastAsia="Arial" w:hAnsi="Arial"/>
        <w:color w:val="777777"/>
        <w:sz w:val="16"/>
        <w:szCs w:val="16"/>
      </w:rPr>
      <w:t xml:space="preserve">Muslim Council of Britain</w:t>
    </w:r>
    <w:r>
      <w:t xml:space="preserve">	</w:t>
    </w:r>
    <w:r>
      <w:drawing>
        <wp:inline distT="0" distB="0" distL="0" distR="0">
          <wp:extent cx="1428750" cy="180975"/>
          <wp:effectExtent t="0" r="0" b="0" l="0"/>
          <wp:docPr id="1" name="MCB Logo" descr="Muslim Council of Britain Logo" title="MC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1">
    <w:multiLevelType w:val="hybridMultilevel"/>
    <w:lvl w15:tentative="1" w:ilvl="0">
      <w:start w:val="1"/>
      <w:numFmt w:val="bullet"/>
      <w:lvlText w:val="●"/>
      <w:lvlJc w:val="left"/>
      <w:pPr>
        <w:ind w:hanging="360" w:left="720"/>
      </w:pPr>
    </w:lvl>
    <w:lvl w15:tentative="1" w:ilvl="1">
      <w:start w:val="1"/>
      <w:numFmt w:val="bullet"/>
      <w:lvlText w:val="○"/>
      <w:lvlJc w:val="left"/>
      <w:pPr>
        <w:ind w:hanging="360" w:left="1440"/>
      </w:pPr>
    </w:lvl>
    <w:lvl w15:tentative="1" w:ilvl="2">
      <w:start w:val="1"/>
      <w:numFmt w:val="bullet"/>
      <w:lvlText w:val="■"/>
      <w:lvlJc w:val="left"/>
      <w:pPr>
        <w:ind w:hanging="360" w:left="2160"/>
      </w:pPr>
    </w:lvl>
    <w:lvl w15:tentative="1" w:ilvl="3">
      <w:start w:val="1"/>
      <w:numFmt w:val="bullet"/>
      <w:lvlText w:val="●"/>
      <w:lvlJc w:val="left"/>
      <w:pPr>
        <w:ind w:hanging="360" w:left="2880"/>
      </w:pPr>
    </w:lvl>
    <w:lvl w15:tentative="1" w:ilvl="4">
      <w:start w:val="1"/>
      <w:numFmt w:val="bullet"/>
      <w:lvlText w:val="○"/>
      <w:lvlJc w:val="left"/>
      <w:pPr>
        <w:ind w:hanging="360" w:left="3600"/>
      </w:pPr>
    </w:lvl>
    <w:lvl w15:tentative="1" w:ilvl="5">
      <w:start w:val="1"/>
      <w:numFmt w:val="bullet"/>
      <w:lvlText w:val="■"/>
      <w:lvlJc w:val="left"/>
      <w:pPr>
        <w:ind w:hanging="360" w:left="4320"/>
      </w:pPr>
    </w:lvl>
    <w:lvl w15:tentative="1" w:ilvl="6">
      <w:start w:val="1"/>
      <w:numFmt w:val="bullet"/>
      <w:lvlText w:val="●"/>
      <w:lvlJc w:val="left"/>
      <w:pPr>
        <w:ind w:hanging="360" w:left="5040"/>
      </w:pPr>
    </w:lvl>
    <w:lvl w15:tentative="1" w:ilvl="7">
      <w:start w:val="1"/>
      <w:numFmt w:val="bullet"/>
      <w:lvlText w:val="●"/>
      <w:lvlJc w:val="left"/>
      <w:pPr>
        <w:ind w:hanging="360" w:left="5760"/>
      </w:pPr>
    </w:lvl>
    <w:lvl w15:tentative="1" w:ilvl="8">
      <w:start w:val="1"/>
      <w:numFmt w:val="bullet"/>
      <w:lvlText w:val="●"/>
      <w:lvlJc w:val="left"/>
      <w:pPr>
        <w:ind w:hanging="36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displayBackgroundShape/>
  <w:embedSystemFonts/>
  <w:proofState w:grammar="clean" w:spelling="clean"/>
  <w:stylePaneFormatFilter w:val="0004"/>
  <w:doNotTrackMoves/>
  <w:defaultTabStop w:val="720"/>
  <w:evenAndOddHeaders w:val="false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</w:compat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00000"/>
        <w:sz w:val="22"/>
        <w:szCs w:val="22"/>
      </w:rPr>
    </w:rPrDefault>
    <w:pPrDefault/>
  </w:docDefaults>
  <w:style w:styleId="Title" w:type="paragraph">
    <w:name w:val="Title"/>
    <w:basedOn w:val="Normal"/>
    <w:next w:val="Normal"/>
    <w:qFormat/>
    <w:rPr>
      <w:sz w:val="56"/>
      <w:szCs w:val="56"/>
    </w:rPr>
  </w:style>
  <w:style w:styleId="Heading1" w:type="paragraph">
    <w:name w:val="Heading 1"/>
    <w:basedOn w:val="Normal"/>
    <w:next w:val="Normal"/>
    <w:qFormat/>
    <w:pPr>
      <w:spacing w:after="240" w:before="360"/>
    </w:pPr>
    <w:rPr>
      <w:rFonts w:ascii="Arial" w:cs="Arial" w:eastAsia="Arial" w:hAnsi="Arial"/>
      <w:b/>
      <w:bCs/>
      <w:color w:val="133578"/>
      <w:sz w:val="56"/>
      <w:szCs w:val="56"/>
    </w:rPr>
  </w:style>
  <w:style w:styleId="Heading2" w:type="paragraph">
    <w:name w:val="Heading 2"/>
    <w:basedOn w:val="Normal"/>
    <w:next w:val="Normal"/>
    <w:qFormat/>
    <w:pPr>
      <w:spacing w:after="200" w:before="300"/>
    </w:pPr>
    <w:rPr>
      <w:rFonts w:ascii="Arial" w:cs="Arial" w:eastAsia="Arial" w:hAnsi="Arial"/>
      <w:b/>
      <w:bCs/>
      <w:color w:val="133578"/>
      <w:sz w:val="44"/>
      <w:szCs w:val="44"/>
    </w:rPr>
  </w:style>
  <w:style w:styleId="Heading3" w:type="paragraph">
    <w:name w:val="Heading 3"/>
    <w:basedOn w:val="Normal"/>
    <w:next w:val="Normal"/>
    <w:qFormat/>
    <w:pPr>
      <w:spacing w:after="160" w:before="240"/>
    </w:pPr>
    <w:rPr>
      <w:rFonts w:ascii="Arial" w:cs="Arial" w:eastAsia="Arial" w:hAnsi="Arial"/>
      <w:b/>
      <w:bCs/>
      <w:color w:val="133578"/>
      <w:sz w:val="36"/>
      <w:szCs w:val="36"/>
    </w:rPr>
  </w:style>
  <w:style w:styleId="Heading4" w:type="paragraph">
    <w:name w:val="Heading 4"/>
    <w:basedOn w:val="Normal"/>
    <w:next w:val="Normal"/>
    <w:qFormat/>
    <w:pPr>
      <w:spacing w:after="120" w:before="200"/>
    </w:pPr>
    <w:rPr>
      <w:rFonts w:ascii="Arial" w:cs="Arial" w:eastAsia="Arial" w:hAnsi="Arial"/>
      <w:b/>
      <w:bCs/>
      <w:color w:val="133578"/>
      <w:sz w:val="28"/>
      <w:szCs w:val="28"/>
    </w:rPr>
  </w:style>
  <w:style w:styleId="Heading5" w:type="paragraph">
    <w:name w:val="Heading 5"/>
    <w:basedOn w:val="Normal"/>
    <w:next w:val="Normal"/>
    <w:qFormat/>
    <w:rPr>
      <w:color w:val="2E74B5"/>
    </w:rPr>
  </w:style>
  <w:style w:styleId="Heading6" w:type="paragraph">
    <w:name w:val="Heading 6"/>
    <w:basedOn w:val="Normal"/>
    <w:next w:val="Normal"/>
    <w:qFormat/>
    <w:rPr>
      <w:color w:val="1F4D78"/>
    </w:rPr>
  </w:style>
  <w:style w:styleId="Strong" w:type="paragraph">
    <w:name w:val="Strong"/>
    <w:basedOn w:val="Normal"/>
    <w:next w:val="Normal"/>
    <w:qFormat/>
    <w:rPr>
      <w:b/>
      <w:bCs/>
    </w:rPr>
  </w:style>
  <w:style w:styleId="ListParagraph" w:type="paragraph">
    <w:name w:val="List Paragraph"/>
    <w:basedOn w:val="Normal"/>
    <w:qFormat/>
  </w:style>
  <w:style w:styleId="Hyperlink" w:type="character">
    <w:name w:val="Hyperlink"/>
    <w:basedOn w:val="DefaultParagraphFont"/>
    <w:uiPriority w:val="99"/>
    <w:unhideWhenUsed/>
    <w:rPr>
      <w:color w:val="0563C1"/>
      <w:u w:val="single"/>
    </w:rPr>
  </w:style>
  <w:style w:styleId="FootnoteReference" w:type="character">
    <w:name w:val="footnote reference"/>
    <w:basedOn w:val="DefaultParagraphFont"/>
    <w:uiPriority w:val="99"/>
    <w:semiHidden/>
    <w:unhideWhenUsed/>
    <w:rPr>
      <w:vertAlign w:val="superscript"/>
    </w:rPr>
  </w:style>
  <w:style w:styleId="FootnoteText" w:type="paragraph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FootnoteTextChar" w:type="characte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basedOn w:val="DefaultParagraphFont"/>
    <w:uiPriority w:val="99"/>
    <w:semiHidden/>
    <w:unhideWhenUsed/>
    <w:rPr>
      <w:vertAlign w:val="superscript"/>
    </w:rPr>
  </w:style>
  <w:style w:styleId="EndnoteText" w:type="paragraph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EndnoteTextChar" w:type="characte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styleId="Heading1" w:type="paragraph">
    <w:name w:val="Heading 1"/>
    <w:basedOn w:val="Normal"/>
    <w:next w:val="Normal"/>
    <w:qFormat/>
    <w:pPr>
      <w:spacing w:after="240" w:before="360"/>
      <w:outlineLvl w:val="0"/>
    </w:pPr>
    <w:rPr>
      <w:rFonts w:ascii="Arial" w:cs="Arial" w:eastAsia="Arial" w:hAnsi="Arial"/>
      <w:b/>
      <w:bCs/>
      <w:color w:val="133578"/>
      <w:sz w:val="56"/>
      <w:szCs w:val="56"/>
    </w:rPr>
  </w:style>
  <w:style w:styleId="Heading2" w:type="paragraph">
    <w:name w:val="Heading 2"/>
    <w:basedOn w:val="Normal"/>
    <w:next w:val="Normal"/>
    <w:qFormat/>
    <w:pPr>
      <w:spacing w:after="200" w:before="300"/>
      <w:outlineLvl w:val="1"/>
    </w:pPr>
    <w:rPr>
      <w:rFonts w:ascii="Arial" w:cs="Arial" w:eastAsia="Arial" w:hAnsi="Arial"/>
      <w:b/>
      <w:bCs/>
      <w:color w:val="133578"/>
      <w:sz w:val="44"/>
      <w:szCs w:val="44"/>
    </w:rPr>
  </w:style>
  <w:style w:styleId="Heading3" w:type="paragraph">
    <w:name w:val="Heading 3"/>
    <w:basedOn w:val="Normal"/>
    <w:next w:val="Normal"/>
    <w:qFormat/>
    <w:pPr>
      <w:spacing w:after="160" w:before="240"/>
      <w:outlineLvl w:val="2"/>
    </w:pPr>
    <w:rPr>
      <w:rFonts w:ascii="Arial" w:cs="Arial" w:eastAsia="Arial" w:hAnsi="Arial"/>
      <w:b/>
      <w:bCs/>
      <w:color w:val="133578"/>
      <w:sz w:val="36"/>
      <w:szCs w:val="36"/>
    </w:rPr>
  </w:style>
  <w:style w:styleId="Heading4" w:type="paragraph">
    <w:name w:val="Heading 4"/>
    <w:basedOn w:val="Normal"/>
    <w:next w:val="Normal"/>
    <w:qFormat/>
    <w:pPr>
      <w:spacing w:after="120" w:before="200"/>
      <w:outlineLvl w:val="3"/>
    </w:pPr>
    <w:rPr>
      <w:rFonts w:ascii="Arial" w:cs="Arial" w:eastAsia="Arial" w:hAnsi="Arial"/>
      <w:b/>
      <w:bCs/>
      <w:color w:val="133578"/>
      <w:sz w:val="28"/>
      <w:szCs w:val="28"/>
    </w:rPr>
  </w:style>
  <w:style w:styleId="BlockText" w:type="paragraph">
    <w:name w:val="Block Text"/>
    <w:basedOn w:val="Normal"/>
    <w:pPr>
      <w:pBdr>
        <w:left w:color="C00000" w:space="8" w:sz="12" w:val="single"/>
      </w:pBdr>
      <w:spacing w:after="120" w:before="120"/>
      <w:ind w:left="720"/>
    </w:pPr>
    <w:rPr>
      <w:rFonts w:ascii="Calibri" w:cs="Calibri" w:eastAsia="Calibri" w:hAnsi="Calibri"/>
      <w:i/>
      <w:iCs/>
      <w:color w:val="444444"/>
      <w:sz w:val="22"/>
      <w:szCs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6" Target="numbering.xml" /><Relationship Type="http://schemas.openxmlformats.org/officeDocument/2006/relationships/styles" Id="rId15" Target="styles.xml" /><Relationship Type="http://schemas.openxmlformats.org/officeDocument/2006/relationships/settings" Id="rId14" Target="settings.xml" /><Relationship Type="http://schemas.openxmlformats.org/officeDocument/2006/relationships/webSettings" Id="rId13" Target="webSettings.xml" /><Relationship Type="http://schemas.openxmlformats.org/officeDocument/2006/relationships/fontTable" Id="rId12" Target="fontTable.xml" /><Relationship Type="http://schemas.openxmlformats.org/officeDocument/2006/relationships/theme" Id="rId11" Target="theme/theme1.xml" /><Relationship Type="http://schemas.openxmlformats.org/officeDocument/2006/relationships/footnotes" Id="rId10" Target="footnotes.xml" /><Relationship Type="http://schemas.openxmlformats.org/officeDocument/2006/relationships/comments" Id="rId9" Target="comments.xml" /><Relationship Id="rId7" Target="header1.xml" Type="http://schemas.openxmlformats.org/officeDocument/2006/relationships/header" /><Relationship Id="rId8" Target="footer1.xml" Type="http://schemas.openxmlformats.org/officeDocument/2006/relationships/footer" 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 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24ca34df660cd40df3e95b4b0a76b40c7997ea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2026-03-07T14:19:52Z</dcterms:created>
  <dcterms:modified xsi:type="dcterms:W3CDTF">2026-03-07T14:19:52Z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